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3713" w14:textId="69D90984" w:rsidR="009971D8" w:rsidRDefault="009971D8" w:rsidP="009971D8">
      <w:pPr>
        <w:jc w:val="both"/>
        <w:rPr>
          <w:rFonts w:ascii="Arial" w:hAnsi="Arial" w:cs="Arial"/>
          <w:sz w:val="20"/>
          <w:szCs w:val="20"/>
        </w:rPr>
      </w:pPr>
      <w:r w:rsidRPr="009971D8">
        <w:rPr>
          <w:rFonts w:ascii="Arial" w:hAnsi="Arial" w:cs="Arial"/>
          <w:b/>
          <w:bCs/>
          <w:sz w:val="20"/>
          <w:szCs w:val="20"/>
          <w:u w:val="single"/>
        </w:rPr>
        <w:t>Objet</w:t>
      </w:r>
      <w:r w:rsidRPr="009971D8"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245DC7">
        <w:rPr>
          <w:rFonts w:ascii="Arial" w:hAnsi="Arial" w:cs="Arial"/>
          <w:b/>
          <w:bCs/>
          <w:sz w:val="20"/>
          <w:szCs w:val="20"/>
        </w:rPr>
        <w:t>Réforme des statuts du Siéml</w:t>
      </w:r>
    </w:p>
    <w:p w14:paraId="79E72E58" w14:textId="57B7AE4D" w:rsidR="00AF24BF" w:rsidRPr="00245DC7" w:rsidRDefault="00AF24BF" w:rsidP="00AF24BF">
      <w:pPr>
        <w:jc w:val="both"/>
        <w:rPr>
          <w:rFonts w:ascii="Arial" w:hAnsi="Arial" w:cs="Arial"/>
          <w:sz w:val="20"/>
          <w:szCs w:val="20"/>
        </w:rPr>
      </w:pPr>
      <w:r w:rsidRPr="00245DC7">
        <w:rPr>
          <w:rFonts w:ascii="Arial" w:hAnsi="Arial" w:cs="Arial"/>
          <w:b/>
          <w:bCs/>
          <w:sz w:val="20"/>
          <w:szCs w:val="20"/>
          <w:highlight w:val="yellow"/>
        </w:rPr>
        <w:t xml:space="preserve">Le </w:t>
      </w:r>
      <w:r w:rsidR="00097A79" w:rsidRPr="00097A79">
        <w:rPr>
          <w:rFonts w:ascii="Arial" w:hAnsi="Arial" w:cs="Arial"/>
          <w:b/>
          <w:bCs/>
          <w:sz w:val="20"/>
          <w:szCs w:val="20"/>
          <w:highlight w:val="yellow"/>
        </w:rPr>
        <w:t>Conseil municipal / le Conseil communautaire,</w:t>
      </w:r>
    </w:p>
    <w:p w14:paraId="096717CF" w14:textId="416E2C88" w:rsidR="00AF24BF" w:rsidRPr="00245DC7" w:rsidRDefault="00AF24BF" w:rsidP="00AF24BF">
      <w:pPr>
        <w:jc w:val="both"/>
        <w:rPr>
          <w:rFonts w:ascii="Arial" w:hAnsi="Arial" w:cs="Arial"/>
          <w:sz w:val="20"/>
          <w:szCs w:val="20"/>
        </w:rPr>
      </w:pPr>
      <w:r w:rsidRPr="00245DC7">
        <w:rPr>
          <w:rFonts w:ascii="Arial" w:hAnsi="Arial" w:cs="Arial"/>
          <w:sz w:val="20"/>
          <w:szCs w:val="20"/>
        </w:rPr>
        <w:t xml:space="preserve">Vu le code général des collectivités territoriales, notamment les articles L 5211-5-1, </w:t>
      </w:r>
      <w:r>
        <w:rPr>
          <w:rFonts w:ascii="Arial" w:hAnsi="Arial" w:cs="Arial"/>
          <w:sz w:val="20"/>
          <w:szCs w:val="20"/>
        </w:rPr>
        <w:t xml:space="preserve">L 5211-17, L 5211-18, </w:t>
      </w:r>
      <w:r w:rsidRPr="00245DC7">
        <w:rPr>
          <w:rFonts w:ascii="Arial" w:hAnsi="Arial" w:cs="Arial"/>
          <w:sz w:val="20"/>
          <w:szCs w:val="20"/>
        </w:rPr>
        <w:t>L 5211-20, L 5212-16 et L 5711-1 et suivants ;</w:t>
      </w:r>
    </w:p>
    <w:p w14:paraId="53090C68" w14:textId="77777777" w:rsidR="00AF24BF" w:rsidRPr="00245DC7" w:rsidRDefault="00AF24BF" w:rsidP="00AF24BF">
      <w:pPr>
        <w:jc w:val="both"/>
        <w:rPr>
          <w:rFonts w:ascii="Arial" w:hAnsi="Arial" w:cs="Arial"/>
          <w:sz w:val="20"/>
          <w:szCs w:val="20"/>
        </w:rPr>
      </w:pPr>
      <w:r w:rsidRPr="00245DC7">
        <w:rPr>
          <w:rFonts w:ascii="Arial" w:hAnsi="Arial" w:cs="Arial"/>
          <w:sz w:val="20"/>
          <w:szCs w:val="20"/>
        </w:rPr>
        <w:t>Vu les statuts du Syndicat intercommunal d’énergies de Maine-et-Loire, modifiés en dernier lieu par l’arrêté préfectoral n° 2019-122 du 14 août 2019 ;</w:t>
      </w:r>
    </w:p>
    <w:p w14:paraId="1D2DD211" w14:textId="77777777" w:rsidR="00AF24BF" w:rsidRDefault="00AF24BF" w:rsidP="00AF24BF">
      <w:pPr>
        <w:jc w:val="both"/>
        <w:rPr>
          <w:rFonts w:ascii="Arial" w:hAnsi="Arial" w:cs="Arial"/>
          <w:sz w:val="20"/>
          <w:szCs w:val="20"/>
        </w:rPr>
      </w:pPr>
      <w:r w:rsidRPr="00245DC7">
        <w:rPr>
          <w:rFonts w:ascii="Arial" w:hAnsi="Arial" w:cs="Arial"/>
          <w:sz w:val="20"/>
          <w:szCs w:val="20"/>
        </w:rPr>
        <w:t>Vu l’arrêté préfectoral n° DRCL/BCFI n° 2023-113 du 16 novembre 2023, portant création de la commune nouvelle d’Ingrandes-le-Fresnes-sur-Loire ;</w:t>
      </w:r>
    </w:p>
    <w:p w14:paraId="6D940CD1" w14:textId="6E1EFAFE" w:rsidR="00AF24BF" w:rsidRDefault="00AF24BF" w:rsidP="00AF24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 la délibération du Comité syndical du Siéml n° 2025-030</w:t>
      </w:r>
      <w:r w:rsidR="00525DD1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du 24 juin 2025, adoptant la réforme statutaire du Syndicat ;</w:t>
      </w:r>
    </w:p>
    <w:p w14:paraId="32F34630" w14:textId="4F9D406F" w:rsidR="00424650" w:rsidRPr="00245DC7" w:rsidRDefault="00424650" w:rsidP="00AF24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 le projet de réforme des statuts du Siéml ;</w:t>
      </w:r>
    </w:p>
    <w:p w14:paraId="20666250" w14:textId="77777777" w:rsidR="00AF24BF" w:rsidRPr="00245DC7" w:rsidRDefault="00AF24BF" w:rsidP="00AF24BF">
      <w:pPr>
        <w:jc w:val="both"/>
        <w:rPr>
          <w:rFonts w:ascii="Arial" w:hAnsi="Arial" w:cs="Arial"/>
          <w:sz w:val="20"/>
          <w:szCs w:val="20"/>
        </w:rPr>
      </w:pPr>
      <w:r w:rsidRPr="00245DC7">
        <w:rPr>
          <w:rFonts w:ascii="Arial" w:hAnsi="Arial" w:cs="Arial"/>
          <w:sz w:val="20"/>
          <w:szCs w:val="20"/>
        </w:rPr>
        <w:t xml:space="preserve">Considérant que le Siéml est un syndicat mixte dit « à la carte » dont les compétences et l’organisation sont déterminées par ses statuts ; </w:t>
      </w:r>
    </w:p>
    <w:p w14:paraId="12D65F26" w14:textId="431BB7EC" w:rsidR="00AF24BF" w:rsidRPr="00245DC7" w:rsidRDefault="00AF24BF" w:rsidP="00AF24BF">
      <w:pPr>
        <w:jc w:val="both"/>
        <w:rPr>
          <w:rFonts w:ascii="Arial" w:hAnsi="Arial" w:cs="Arial"/>
          <w:sz w:val="20"/>
          <w:szCs w:val="20"/>
        </w:rPr>
      </w:pPr>
      <w:r w:rsidRPr="00245DC7">
        <w:rPr>
          <w:rFonts w:ascii="Arial" w:hAnsi="Arial" w:cs="Arial"/>
          <w:sz w:val="20"/>
          <w:szCs w:val="20"/>
        </w:rPr>
        <w:t>Considérant que les conditions et modalités selon lesquelles le Siéml exerce ses compétences et activités nécessitent d’être adaptées aux évolutions du droit et clarifiées par domaines d’intervention</w:t>
      </w:r>
      <w:r w:rsidR="006E55B5">
        <w:rPr>
          <w:rFonts w:ascii="Arial" w:hAnsi="Arial" w:cs="Arial"/>
          <w:sz w:val="20"/>
          <w:szCs w:val="20"/>
        </w:rPr>
        <w:t>,</w:t>
      </w:r>
      <w:r w:rsidRPr="00245DC7">
        <w:rPr>
          <w:rFonts w:ascii="Arial" w:hAnsi="Arial" w:cs="Arial"/>
          <w:sz w:val="20"/>
          <w:szCs w:val="20"/>
        </w:rPr>
        <w:t xml:space="preserve"> en vue de positionner le Syndicat en tant qu’opérateur global de coordination et de solidarité territoriale doté d’une expertise technique diversifiée dans le domaine énergétique, conformément à son objet ;</w:t>
      </w:r>
    </w:p>
    <w:p w14:paraId="450CF53E" w14:textId="0B3FF511" w:rsidR="00AF24BF" w:rsidRPr="00245DC7" w:rsidRDefault="00AF24BF" w:rsidP="00AF24BF">
      <w:pPr>
        <w:jc w:val="both"/>
        <w:rPr>
          <w:rFonts w:ascii="Arial" w:hAnsi="Arial" w:cs="Arial"/>
          <w:sz w:val="20"/>
          <w:szCs w:val="20"/>
        </w:rPr>
      </w:pPr>
      <w:r w:rsidRPr="00245DC7">
        <w:rPr>
          <w:rFonts w:ascii="Arial" w:hAnsi="Arial" w:cs="Arial"/>
          <w:sz w:val="20"/>
          <w:szCs w:val="20"/>
        </w:rPr>
        <w:t>Considérant que des précisions statutaires doivent être apportées concernant la gouvernance du Syndicat afin d’une part, de la clarifier et de simplifier sa gestion et, d’autre part</w:t>
      </w:r>
      <w:r>
        <w:rPr>
          <w:rFonts w:ascii="Arial" w:hAnsi="Arial" w:cs="Arial"/>
          <w:sz w:val="20"/>
          <w:szCs w:val="20"/>
        </w:rPr>
        <w:t xml:space="preserve">, </w:t>
      </w:r>
      <w:r w:rsidRPr="00245DC7">
        <w:rPr>
          <w:rFonts w:ascii="Arial" w:hAnsi="Arial" w:cs="Arial"/>
          <w:sz w:val="20"/>
          <w:szCs w:val="20"/>
        </w:rPr>
        <w:t xml:space="preserve">d’actualiser les circonscriptions électives et, par voie de conséquence, </w:t>
      </w:r>
      <w:r w:rsidR="00C15AEB">
        <w:rPr>
          <w:rFonts w:ascii="Arial" w:hAnsi="Arial" w:cs="Arial"/>
          <w:sz w:val="20"/>
          <w:szCs w:val="20"/>
        </w:rPr>
        <w:t>d’</w:t>
      </w:r>
      <w:r w:rsidRPr="00245DC7">
        <w:rPr>
          <w:rFonts w:ascii="Arial" w:hAnsi="Arial" w:cs="Arial"/>
          <w:sz w:val="20"/>
          <w:szCs w:val="20"/>
        </w:rPr>
        <w:t>ajuster la composition du comité syndical ;</w:t>
      </w:r>
    </w:p>
    <w:p w14:paraId="1D292D75" w14:textId="2A6BBC8A" w:rsidR="00AF24BF" w:rsidRPr="00245DC7" w:rsidRDefault="00AF24BF" w:rsidP="00AF24BF">
      <w:pPr>
        <w:jc w:val="both"/>
        <w:rPr>
          <w:rFonts w:ascii="Arial" w:hAnsi="Arial" w:cs="Arial"/>
          <w:sz w:val="20"/>
          <w:szCs w:val="20"/>
        </w:rPr>
      </w:pPr>
      <w:r w:rsidRPr="00245DC7">
        <w:rPr>
          <w:rFonts w:ascii="Arial" w:hAnsi="Arial" w:cs="Arial"/>
          <w:sz w:val="20"/>
          <w:szCs w:val="20"/>
        </w:rPr>
        <w:t>Considérant que la modification statutaire doit être soumise à l’approbation des assemblées délibérantes des collectivités membres puis transmise au préfet du département de Maine-et-Loire pour validation par arrêté au vu des conditions de majorité qualifiée requises pour toute modification statutaire ;</w:t>
      </w:r>
    </w:p>
    <w:p w14:paraId="4FC1A47D" w14:textId="2B1E36DE" w:rsidR="00AF24BF" w:rsidRPr="00245DC7" w:rsidRDefault="00AF24BF" w:rsidP="00AF24BF">
      <w:pPr>
        <w:jc w:val="both"/>
        <w:rPr>
          <w:rFonts w:ascii="Arial" w:hAnsi="Arial" w:cs="Arial"/>
          <w:sz w:val="20"/>
          <w:szCs w:val="20"/>
        </w:rPr>
      </w:pPr>
      <w:r w:rsidRPr="00245DC7">
        <w:rPr>
          <w:rFonts w:ascii="Arial" w:hAnsi="Arial" w:cs="Arial"/>
          <w:sz w:val="20"/>
          <w:szCs w:val="20"/>
        </w:rPr>
        <w:t xml:space="preserve">Après avoir entendu l’exposé de </w:t>
      </w:r>
      <w:r w:rsidRPr="00245DC7">
        <w:rPr>
          <w:rFonts w:ascii="Arial" w:hAnsi="Arial" w:cs="Arial"/>
          <w:sz w:val="20"/>
          <w:szCs w:val="20"/>
          <w:highlight w:val="yellow"/>
        </w:rPr>
        <w:t xml:space="preserve">M. le </w:t>
      </w:r>
      <w:r w:rsidR="00097A79">
        <w:rPr>
          <w:rFonts w:ascii="Arial" w:hAnsi="Arial" w:cs="Arial"/>
          <w:sz w:val="20"/>
          <w:szCs w:val="20"/>
          <w:highlight w:val="yellow"/>
        </w:rPr>
        <w:t xml:space="preserve">Maire / M. le Président </w:t>
      </w:r>
      <w:r w:rsidRPr="00245DC7">
        <w:rPr>
          <w:rFonts w:ascii="Arial" w:hAnsi="Arial" w:cs="Arial"/>
          <w:sz w:val="20"/>
          <w:szCs w:val="20"/>
          <w:highlight w:val="yellow"/>
        </w:rPr>
        <w:t>;</w:t>
      </w:r>
    </w:p>
    <w:p w14:paraId="52D03816" w14:textId="77777777" w:rsidR="00AF24BF" w:rsidRPr="00245DC7" w:rsidRDefault="00AF24BF" w:rsidP="00AF24BF">
      <w:pPr>
        <w:jc w:val="both"/>
        <w:rPr>
          <w:rFonts w:ascii="Arial" w:hAnsi="Arial" w:cs="Arial"/>
          <w:sz w:val="20"/>
          <w:szCs w:val="20"/>
        </w:rPr>
      </w:pPr>
      <w:r w:rsidRPr="00245DC7">
        <w:rPr>
          <w:rFonts w:ascii="Arial" w:hAnsi="Arial" w:cs="Arial"/>
          <w:sz w:val="20"/>
          <w:szCs w:val="20"/>
        </w:rPr>
        <w:t>Après en avoir délibéré ;</w:t>
      </w:r>
    </w:p>
    <w:p w14:paraId="5AEF1679" w14:textId="77777777" w:rsidR="00AF24BF" w:rsidRPr="00245DC7" w:rsidRDefault="00AF24BF" w:rsidP="00AF24BF">
      <w:pPr>
        <w:jc w:val="center"/>
        <w:rPr>
          <w:rFonts w:ascii="Arial" w:hAnsi="Arial" w:cs="Arial"/>
          <w:sz w:val="20"/>
          <w:szCs w:val="20"/>
        </w:rPr>
      </w:pPr>
      <w:r w:rsidRPr="00245DC7">
        <w:rPr>
          <w:rFonts w:ascii="Arial" w:hAnsi="Arial" w:cs="Arial"/>
          <w:b/>
          <w:bCs/>
          <w:sz w:val="20"/>
          <w:szCs w:val="20"/>
        </w:rPr>
        <w:t>Décide</w:t>
      </w:r>
    </w:p>
    <w:p w14:paraId="097F5C3F" w14:textId="5DECA37A" w:rsidR="00097A79" w:rsidRPr="00245DC7" w:rsidRDefault="00097A79" w:rsidP="00C15AEB">
      <w:pPr>
        <w:numPr>
          <w:ilvl w:val="0"/>
          <w:numId w:val="18"/>
        </w:numPr>
        <w:spacing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45DC7">
        <w:rPr>
          <w:rFonts w:ascii="Arial" w:hAnsi="Arial" w:cs="Arial"/>
          <w:b/>
          <w:bCs/>
          <w:sz w:val="20"/>
          <w:szCs w:val="20"/>
          <w:highlight w:val="yellow"/>
        </w:rPr>
        <w:t>d’a</w:t>
      </w:r>
      <w:r w:rsidRPr="00B35C65">
        <w:rPr>
          <w:rFonts w:ascii="Arial" w:hAnsi="Arial" w:cs="Arial"/>
          <w:b/>
          <w:bCs/>
          <w:sz w:val="20"/>
          <w:szCs w:val="20"/>
          <w:highlight w:val="yellow"/>
        </w:rPr>
        <w:t>pprouver / de refuser</w:t>
      </w:r>
      <w:r w:rsidR="004246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5DC7">
        <w:rPr>
          <w:rFonts w:ascii="Arial" w:hAnsi="Arial" w:cs="Arial"/>
          <w:sz w:val="20"/>
          <w:szCs w:val="20"/>
        </w:rPr>
        <w:t>le projet de</w:t>
      </w:r>
      <w:r w:rsidR="00424650">
        <w:rPr>
          <w:rFonts w:ascii="Arial" w:hAnsi="Arial" w:cs="Arial"/>
          <w:sz w:val="20"/>
          <w:szCs w:val="20"/>
        </w:rPr>
        <w:t xml:space="preserve"> réforme des</w:t>
      </w:r>
      <w:r w:rsidRPr="00245DC7">
        <w:rPr>
          <w:rFonts w:ascii="Arial" w:hAnsi="Arial" w:cs="Arial"/>
          <w:sz w:val="20"/>
          <w:szCs w:val="20"/>
        </w:rPr>
        <w:t xml:space="preserve"> statuts du Siéml</w:t>
      </w:r>
      <w:r w:rsidR="00424650">
        <w:rPr>
          <w:rFonts w:ascii="Arial" w:hAnsi="Arial" w:cs="Arial"/>
          <w:sz w:val="20"/>
          <w:szCs w:val="20"/>
        </w:rPr>
        <w:t>,</w:t>
      </w:r>
      <w:r w:rsidRPr="00245DC7">
        <w:rPr>
          <w:rFonts w:ascii="Arial" w:hAnsi="Arial" w:cs="Arial"/>
          <w:sz w:val="20"/>
          <w:szCs w:val="20"/>
        </w:rPr>
        <w:t xml:space="preserve"> tel que joint en annexe ; </w:t>
      </w:r>
    </w:p>
    <w:p w14:paraId="76028293" w14:textId="77777777" w:rsidR="00097A79" w:rsidRPr="00245DC7" w:rsidRDefault="00097A79" w:rsidP="00C15AEB">
      <w:pPr>
        <w:numPr>
          <w:ilvl w:val="0"/>
          <w:numId w:val="18"/>
        </w:numPr>
        <w:spacing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45DC7">
        <w:rPr>
          <w:rFonts w:ascii="Arial" w:hAnsi="Arial" w:cs="Arial"/>
          <w:b/>
          <w:bCs/>
          <w:sz w:val="20"/>
          <w:szCs w:val="20"/>
        </w:rPr>
        <w:t xml:space="preserve">d’autoriser </w:t>
      </w:r>
      <w:r w:rsidRPr="00245DC7">
        <w:rPr>
          <w:rFonts w:ascii="Arial" w:hAnsi="Arial" w:cs="Arial"/>
          <w:sz w:val="20"/>
          <w:szCs w:val="20"/>
          <w:highlight w:val="yellow"/>
        </w:rPr>
        <w:t xml:space="preserve">le </w:t>
      </w:r>
      <w:r w:rsidRPr="00A712AB">
        <w:rPr>
          <w:rFonts w:ascii="Arial" w:hAnsi="Arial" w:cs="Arial"/>
          <w:sz w:val="20"/>
          <w:szCs w:val="20"/>
          <w:highlight w:val="yellow"/>
        </w:rPr>
        <w:t xml:space="preserve">Maire / le </w:t>
      </w:r>
      <w:r w:rsidRPr="00245DC7">
        <w:rPr>
          <w:rFonts w:ascii="Arial" w:hAnsi="Arial" w:cs="Arial"/>
          <w:sz w:val="20"/>
          <w:szCs w:val="20"/>
          <w:highlight w:val="yellow"/>
        </w:rPr>
        <w:t>Président</w:t>
      </w:r>
      <w:r w:rsidRPr="00245DC7">
        <w:rPr>
          <w:rFonts w:ascii="Arial" w:hAnsi="Arial" w:cs="Arial"/>
          <w:sz w:val="20"/>
          <w:szCs w:val="20"/>
        </w:rPr>
        <w:t xml:space="preserve"> à prendre toutes les mesures nécessaires à la mise en œuvre de la présente délibération. </w:t>
      </w:r>
    </w:p>
    <w:p w14:paraId="03F7AE15" w14:textId="412BA509" w:rsidR="00AF24BF" w:rsidRPr="00C15AEB" w:rsidRDefault="00AF24BF" w:rsidP="00C15AE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5AEB">
        <w:rPr>
          <w:rFonts w:ascii="Arial" w:hAnsi="Arial" w:cs="Arial"/>
          <w:b/>
          <w:bCs/>
          <w:sz w:val="20"/>
          <w:szCs w:val="20"/>
        </w:rPr>
        <w:t>Précise que :</w:t>
      </w:r>
    </w:p>
    <w:p w14:paraId="4FDE0E6E" w14:textId="77777777" w:rsidR="00AF24BF" w:rsidRPr="00245DC7" w:rsidRDefault="00AF24BF" w:rsidP="00383A08">
      <w:pPr>
        <w:jc w:val="both"/>
        <w:rPr>
          <w:rFonts w:ascii="Arial" w:hAnsi="Arial" w:cs="Arial"/>
          <w:sz w:val="20"/>
          <w:szCs w:val="20"/>
        </w:rPr>
      </w:pPr>
      <w:r w:rsidRPr="00245DC7">
        <w:rPr>
          <w:rFonts w:ascii="Arial" w:hAnsi="Arial" w:cs="Arial"/>
          <w:sz w:val="20"/>
          <w:szCs w:val="20"/>
        </w:rPr>
        <w:t xml:space="preserve">la présente délibération peut faire l’objet, dans un délai de deux mois à compter de sa publication et/ou notification, d’un recours contentieux par courrier adressé au Tribunal administratif de Nantes, 6, allée de l'Ile Gloriette CS 24111, 44041 Nantes Cedex, ou par l'application </w:t>
      </w:r>
      <w:r w:rsidRPr="00245DC7">
        <w:rPr>
          <w:rFonts w:ascii="Arial" w:hAnsi="Arial" w:cs="Arial"/>
          <w:i/>
          <w:iCs/>
          <w:sz w:val="20"/>
          <w:szCs w:val="20"/>
        </w:rPr>
        <w:t>Télérecours Citoyens</w:t>
      </w:r>
      <w:r w:rsidRPr="00245DC7">
        <w:rPr>
          <w:rFonts w:ascii="Arial" w:hAnsi="Arial" w:cs="Arial"/>
          <w:sz w:val="20"/>
          <w:szCs w:val="20"/>
        </w:rPr>
        <w:t xml:space="preserve"> accessible à partir du site </w:t>
      </w:r>
      <w:hyperlink r:id="rId7" w:history="1">
        <w:r w:rsidRPr="00245DC7">
          <w:rPr>
            <w:rStyle w:val="Lienhypertexte"/>
            <w:rFonts w:ascii="Arial" w:hAnsi="Arial" w:cs="Arial"/>
            <w:i/>
            <w:iCs/>
            <w:sz w:val="20"/>
            <w:szCs w:val="20"/>
          </w:rPr>
          <w:t>www.telerecours.fr</w:t>
        </w:r>
      </w:hyperlink>
      <w:r w:rsidRPr="00245DC7">
        <w:rPr>
          <w:rFonts w:ascii="Arial" w:hAnsi="Arial" w:cs="Arial"/>
          <w:sz w:val="20"/>
          <w:szCs w:val="20"/>
        </w:rPr>
        <w:t>. L'auteur de la décision peut également être saisi d'un recours gracieux dans le même délai.</w:t>
      </w:r>
    </w:p>
    <w:tbl>
      <w:tblPr>
        <w:tblW w:w="32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06"/>
      </w:tblGrid>
      <w:tr w:rsidR="00097A79" w:rsidRPr="00245DC7" w14:paraId="1F2BD720" w14:textId="77777777" w:rsidTr="00097A79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76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618"/>
              <w:gridCol w:w="2142"/>
            </w:tblGrid>
            <w:tr w:rsidR="00097A79" w:rsidRPr="00245DC7" w14:paraId="7AE2CD4D" w14:textId="77777777" w:rsidTr="005675C7">
              <w:trPr>
                <w:cantSplit/>
                <w:trHeight w:hRule="exact" w:val="291"/>
                <w:tblCellSpacing w:w="0" w:type="dxa"/>
              </w:trPr>
              <w:tc>
                <w:tcPr>
                  <w:tcW w:w="3141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DC71A6" w14:textId="672F6086" w:rsidR="00097A79" w:rsidRPr="00245DC7" w:rsidRDefault="00097A79" w:rsidP="00136AF2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DC7">
                    <w:rPr>
                      <w:rFonts w:ascii="Arial" w:hAnsi="Arial" w:cs="Arial"/>
                      <w:sz w:val="20"/>
                      <w:szCs w:val="20"/>
                    </w:rPr>
                    <w:t xml:space="preserve">Nombre de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membres</w:t>
                  </w:r>
                  <w:r w:rsidRPr="00245DC7">
                    <w:rPr>
                      <w:rFonts w:ascii="Arial" w:hAnsi="Arial" w:cs="Arial"/>
                      <w:sz w:val="20"/>
                      <w:szCs w:val="20"/>
                    </w:rPr>
                    <w:t xml:space="preserve"> en exercice :</w:t>
                  </w:r>
                </w:p>
              </w:tc>
              <w:tc>
                <w:tcPr>
                  <w:tcW w:w="1859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009F0E" w14:textId="2154366A" w:rsidR="00097A79" w:rsidRPr="00245DC7" w:rsidRDefault="00097A79" w:rsidP="00136AF2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6AF2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[à compléter]</w:t>
                  </w:r>
                </w:p>
              </w:tc>
            </w:tr>
            <w:tr w:rsidR="00136AF2" w:rsidRPr="00245DC7" w14:paraId="6E1A703B" w14:textId="77777777" w:rsidTr="005675C7">
              <w:trPr>
                <w:cantSplit/>
                <w:trHeight w:hRule="exact" w:val="291"/>
                <w:tblCellSpacing w:w="0" w:type="dxa"/>
              </w:trPr>
              <w:tc>
                <w:tcPr>
                  <w:tcW w:w="3141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EAEE6B" w14:textId="77777777" w:rsidR="00136AF2" w:rsidRPr="00245DC7" w:rsidRDefault="00136AF2" w:rsidP="00136AF2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DC7">
                    <w:rPr>
                      <w:rFonts w:ascii="Arial" w:hAnsi="Arial" w:cs="Arial"/>
                      <w:sz w:val="20"/>
                      <w:szCs w:val="20"/>
                    </w:rPr>
                    <w:t>Nombre de présents :</w:t>
                  </w:r>
                </w:p>
              </w:tc>
              <w:tc>
                <w:tcPr>
                  <w:tcW w:w="1859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C96AFD" w14:textId="25569357" w:rsidR="00136AF2" w:rsidRPr="00245DC7" w:rsidRDefault="00136AF2" w:rsidP="00136AF2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6AF2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[à compléter]</w:t>
                  </w:r>
                </w:p>
              </w:tc>
            </w:tr>
            <w:tr w:rsidR="00136AF2" w:rsidRPr="00245DC7" w14:paraId="2B03EEF9" w14:textId="77777777" w:rsidTr="005675C7">
              <w:trPr>
                <w:cantSplit/>
                <w:trHeight w:hRule="exact" w:val="291"/>
                <w:tblCellSpacing w:w="0" w:type="dxa"/>
              </w:trPr>
              <w:tc>
                <w:tcPr>
                  <w:tcW w:w="3141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507F3F" w14:textId="77777777" w:rsidR="00136AF2" w:rsidRPr="00245DC7" w:rsidRDefault="00136AF2" w:rsidP="00136AF2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DC7">
                    <w:rPr>
                      <w:rFonts w:ascii="Arial" w:hAnsi="Arial" w:cs="Arial"/>
                      <w:sz w:val="20"/>
                      <w:szCs w:val="20"/>
                    </w:rPr>
                    <w:t>Nombre de votants :</w:t>
                  </w:r>
                </w:p>
              </w:tc>
              <w:tc>
                <w:tcPr>
                  <w:tcW w:w="1859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2E5872" w14:textId="5387339C" w:rsidR="00136AF2" w:rsidRPr="00245DC7" w:rsidRDefault="00136AF2" w:rsidP="00136AF2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6AF2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[à compléter]</w:t>
                  </w:r>
                </w:p>
              </w:tc>
            </w:tr>
            <w:tr w:rsidR="00136AF2" w:rsidRPr="00245DC7" w14:paraId="3432CCC1" w14:textId="77777777" w:rsidTr="005675C7">
              <w:trPr>
                <w:cantSplit/>
                <w:trHeight w:hRule="exact" w:val="291"/>
                <w:tblCellSpacing w:w="0" w:type="dxa"/>
              </w:trPr>
              <w:tc>
                <w:tcPr>
                  <w:tcW w:w="3141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F38CF7" w14:textId="77777777" w:rsidR="00136AF2" w:rsidRPr="00245DC7" w:rsidRDefault="00136AF2" w:rsidP="00136AF2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DC7">
                    <w:rPr>
                      <w:rFonts w:ascii="Arial" w:hAnsi="Arial" w:cs="Arial"/>
                      <w:sz w:val="20"/>
                      <w:szCs w:val="20"/>
                    </w:rPr>
                    <w:t>Abstention :</w:t>
                  </w:r>
                </w:p>
              </w:tc>
              <w:tc>
                <w:tcPr>
                  <w:tcW w:w="1859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73B6A6" w14:textId="7D748704" w:rsidR="00136AF2" w:rsidRPr="00245DC7" w:rsidRDefault="00136AF2" w:rsidP="00136AF2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6AF2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[à compléter]</w:t>
                  </w:r>
                </w:p>
              </w:tc>
            </w:tr>
            <w:tr w:rsidR="00136AF2" w:rsidRPr="00245DC7" w14:paraId="0137BD82" w14:textId="77777777" w:rsidTr="005675C7">
              <w:trPr>
                <w:cantSplit/>
                <w:trHeight w:hRule="exact" w:val="291"/>
                <w:tblCellSpacing w:w="0" w:type="dxa"/>
              </w:trPr>
              <w:tc>
                <w:tcPr>
                  <w:tcW w:w="3141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E5E8C6" w14:textId="77777777" w:rsidR="00136AF2" w:rsidRPr="00245DC7" w:rsidRDefault="00136AF2" w:rsidP="00136AF2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DC7">
                    <w:rPr>
                      <w:rFonts w:ascii="Arial" w:hAnsi="Arial" w:cs="Arial"/>
                      <w:sz w:val="20"/>
                      <w:szCs w:val="20"/>
                    </w:rPr>
                    <w:t>Opposition :</w:t>
                  </w:r>
                </w:p>
              </w:tc>
              <w:tc>
                <w:tcPr>
                  <w:tcW w:w="1859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1FB38B" w14:textId="2A943EA7" w:rsidR="00136AF2" w:rsidRPr="00245DC7" w:rsidRDefault="00136AF2" w:rsidP="00136AF2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6AF2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[à compléter]</w:t>
                  </w:r>
                </w:p>
              </w:tc>
            </w:tr>
            <w:tr w:rsidR="00136AF2" w:rsidRPr="00245DC7" w14:paraId="474F27D8" w14:textId="77777777" w:rsidTr="005675C7">
              <w:trPr>
                <w:cantSplit/>
                <w:trHeight w:hRule="exact" w:val="291"/>
                <w:tblCellSpacing w:w="0" w:type="dxa"/>
              </w:trPr>
              <w:tc>
                <w:tcPr>
                  <w:tcW w:w="3141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6DC7D1" w14:textId="77777777" w:rsidR="00136AF2" w:rsidRPr="00245DC7" w:rsidRDefault="00136AF2" w:rsidP="00136AF2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DC7">
                    <w:rPr>
                      <w:rFonts w:ascii="Arial" w:hAnsi="Arial" w:cs="Arial"/>
                      <w:sz w:val="20"/>
                      <w:szCs w:val="20"/>
                    </w:rPr>
                    <w:t>Approbation :</w:t>
                  </w:r>
                </w:p>
              </w:tc>
              <w:tc>
                <w:tcPr>
                  <w:tcW w:w="1859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97817B" w14:textId="3CDB3D60" w:rsidR="00136AF2" w:rsidRPr="00245DC7" w:rsidRDefault="00136AF2" w:rsidP="00136AF2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6AF2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[à compléter]</w:t>
                  </w:r>
                </w:p>
              </w:tc>
            </w:tr>
          </w:tbl>
          <w:p w14:paraId="42B87358" w14:textId="77777777" w:rsidR="00097A79" w:rsidRPr="00245DC7" w:rsidRDefault="00097A79" w:rsidP="00A068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B1EAA0" w14:textId="77777777" w:rsidR="00AF24BF" w:rsidRDefault="00AF24BF" w:rsidP="00136AF2"/>
    <w:sectPr w:rsidR="00AF24BF" w:rsidSect="00136AF2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48266" w14:textId="77777777" w:rsidR="00383A08" w:rsidRDefault="00383A08" w:rsidP="00383A08">
      <w:pPr>
        <w:spacing w:after="0" w:line="240" w:lineRule="auto"/>
      </w:pPr>
      <w:r>
        <w:separator/>
      </w:r>
    </w:p>
  </w:endnote>
  <w:endnote w:type="continuationSeparator" w:id="0">
    <w:p w14:paraId="67F9CDF8" w14:textId="77777777" w:rsidR="00383A08" w:rsidRDefault="00383A08" w:rsidP="0038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Gras">
    <w:altName w:val="Avenir Heavy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E9E78" w14:textId="77777777" w:rsidR="00383A08" w:rsidRDefault="00383A08" w:rsidP="00383A08">
      <w:pPr>
        <w:spacing w:after="0" w:line="240" w:lineRule="auto"/>
      </w:pPr>
      <w:r>
        <w:separator/>
      </w:r>
    </w:p>
  </w:footnote>
  <w:footnote w:type="continuationSeparator" w:id="0">
    <w:p w14:paraId="7DEB1560" w14:textId="77777777" w:rsidR="00383A08" w:rsidRDefault="00383A08" w:rsidP="0038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9062"/>
    </w:tblGrid>
    <w:tr w:rsidR="00383A08" w14:paraId="5BB1DB8D" w14:textId="77777777">
      <w:tc>
        <w:tcPr>
          <w:tcW w:w="9062" w:type="dxa"/>
        </w:tcPr>
        <w:p w14:paraId="40D237C2" w14:textId="4B146E51" w:rsidR="00383A08" w:rsidRPr="005675C7" w:rsidRDefault="005675C7" w:rsidP="00383A08">
          <w:pPr>
            <w:pStyle w:val="En-tte"/>
            <w:jc w:val="center"/>
            <w:rPr>
              <w:b/>
              <w:bCs/>
            </w:rPr>
          </w:pPr>
          <w:r w:rsidRPr="005675C7">
            <w:rPr>
              <w:b/>
              <w:bCs/>
            </w:rPr>
            <w:t>MODÈLE DE DELIBÉRATION</w:t>
          </w:r>
        </w:p>
      </w:tc>
    </w:tr>
  </w:tbl>
  <w:p w14:paraId="1E1FB685" w14:textId="4D25E394" w:rsidR="00383A08" w:rsidRPr="00383A08" w:rsidRDefault="00383A08" w:rsidP="00383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142AA"/>
    <w:multiLevelType w:val="multilevel"/>
    <w:tmpl w:val="DD12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2C3850"/>
    <w:multiLevelType w:val="multilevel"/>
    <w:tmpl w:val="7060B0F2"/>
    <w:lvl w:ilvl="0">
      <w:start w:val="1"/>
      <w:numFmt w:val="decimal"/>
      <w:lvlText w:val="ARTICLE %1 :"/>
      <w:lvlJc w:val="left"/>
      <w:pPr>
        <w:ind w:left="432" w:hanging="432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BD20873"/>
    <w:multiLevelType w:val="multilevel"/>
    <w:tmpl w:val="D04C73EE"/>
    <w:lvl w:ilvl="0">
      <w:start w:val="1"/>
      <w:numFmt w:val="decimal"/>
      <w:pStyle w:val="Titre1"/>
      <w:lvlText w:val="ARTICLE %1 :"/>
      <w:lvlJc w:val="left"/>
      <w:pPr>
        <w:ind w:left="432" w:hanging="432"/>
      </w:pPr>
      <w:rPr>
        <w:rFonts w:cs="Times New Roman" w:hint="default"/>
        <w:b/>
        <w:bCs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91A1323"/>
    <w:multiLevelType w:val="multilevel"/>
    <w:tmpl w:val="B5BE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07260"/>
    <w:multiLevelType w:val="multilevel"/>
    <w:tmpl w:val="4918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81E2B"/>
    <w:multiLevelType w:val="multilevel"/>
    <w:tmpl w:val="9FDE75CE"/>
    <w:lvl w:ilvl="0">
      <w:start w:val="1"/>
      <w:numFmt w:val="decimal"/>
      <w:suff w:val="space"/>
      <w:lvlText w:val="Article %1 –"/>
      <w:lvlJc w:val="left"/>
      <w:pPr>
        <w:ind w:left="0" w:firstLine="0"/>
      </w:pPr>
      <w:rPr>
        <w:rFonts w:asciiTheme="majorHAnsi" w:hAnsiTheme="majorHAnsi" w:cstheme="majorHAnsi" w:hint="default"/>
        <w:b/>
        <w:i w:val="0"/>
        <w:sz w:val="24"/>
      </w:rPr>
    </w:lvl>
    <w:lvl w:ilvl="1">
      <w:start w:val="1"/>
      <w:numFmt w:val="decimal"/>
      <w:suff w:val="nothing"/>
      <w:lvlText w:val="%1.%2  – "/>
      <w:lvlJc w:val="left"/>
      <w:pPr>
        <w:ind w:left="1276" w:firstLine="0"/>
      </w:pPr>
      <w:rPr>
        <w:rFonts w:hint="default"/>
        <w:b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2.1.%3.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01331597">
    <w:abstractNumId w:val="1"/>
  </w:num>
  <w:num w:numId="2" w16cid:durableId="552079537">
    <w:abstractNumId w:val="1"/>
  </w:num>
  <w:num w:numId="3" w16cid:durableId="1591159124">
    <w:abstractNumId w:val="1"/>
  </w:num>
  <w:num w:numId="4" w16cid:durableId="1133451041">
    <w:abstractNumId w:val="5"/>
  </w:num>
  <w:num w:numId="5" w16cid:durableId="241794514">
    <w:abstractNumId w:val="0"/>
  </w:num>
  <w:num w:numId="6" w16cid:durableId="232473543">
    <w:abstractNumId w:val="2"/>
  </w:num>
  <w:num w:numId="7" w16cid:durableId="1277709493">
    <w:abstractNumId w:val="2"/>
  </w:num>
  <w:num w:numId="8" w16cid:durableId="141121714">
    <w:abstractNumId w:val="2"/>
  </w:num>
  <w:num w:numId="9" w16cid:durableId="1380206602">
    <w:abstractNumId w:val="2"/>
  </w:num>
  <w:num w:numId="10" w16cid:durableId="326515386">
    <w:abstractNumId w:val="2"/>
  </w:num>
  <w:num w:numId="11" w16cid:durableId="575475187">
    <w:abstractNumId w:val="2"/>
  </w:num>
  <w:num w:numId="12" w16cid:durableId="768280838">
    <w:abstractNumId w:val="2"/>
  </w:num>
  <w:num w:numId="13" w16cid:durableId="1501386951">
    <w:abstractNumId w:val="2"/>
  </w:num>
  <w:num w:numId="14" w16cid:durableId="1561668906">
    <w:abstractNumId w:val="2"/>
  </w:num>
  <w:num w:numId="15" w16cid:durableId="761485387">
    <w:abstractNumId w:val="2"/>
  </w:num>
  <w:num w:numId="16" w16cid:durableId="1680502767">
    <w:abstractNumId w:val="2"/>
  </w:num>
  <w:num w:numId="17" w16cid:durableId="1520848630">
    <w:abstractNumId w:val="2"/>
  </w:num>
  <w:num w:numId="18" w16cid:durableId="1773233801">
    <w:abstractNumId w:val="3"/>
  </w:num>
  <w:num w:numId="19" w16cid:durableId="889849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BF"/>
    <w:rsid w:val="000623DE"/>
    <w:rsid w:val="00097A79"/>
    <w:rsid w:val="00136AF2"/>
    <w:rsid w:val="001A3457"/>
    <w:rsid w:val="00297E7F"/>
    <w:rsid w:val="002A6349"/>
    <w:rsid w:val="002F7AA2"/>
    <w:rsid w:val="00314C33"/>
    <w:rsid w:val="00383A08"/>
    <w:rsid w:val="004130DF"/>
    <w:rsid w:val="00424650"/>
    <w:rsid w:val="00525DD1"/>
    <w:rsid w:val="005675C7"/>
    <w:rsid w:val="006E55B5"/>
    <w:rsid w:val="007A4226"/>
    <w:rsid w:val="007C2FC6"/>
    <w:rsid w:val="008A619A"/>
    <w:rsid w:val="008C30FB"/>
    <w:rsid w:val="00944D65"/>
    <w:rsid w:val="009971D8"/>
    <w:rsid w:val="00A1572A"/>
    <w:rsid w:val="00A76957"/>
    <w:rsid w:val="00AF24BF"/>
    <w:rsid w:val="00B236F7"/>
    <w:rsid w:val="00BF426C"/>
    <w:rsid w:val="00C037AB"/>
    <w:rsid w:val="00C15AEB"/>
    <w:rsid w:val="00D7737A"/>
    <w:rsid w:val="00DC5155"/>
    <w:rsid w:val="00F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1C3B"/>
  <w15:chartTrackingRefBased/>
  <w15:docId w15:val="{C849E4EE-9B3D-4586-9C81-FA89D004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BF"/>
  </w:style>
  <w:style w:type="paragraph" w:styleId="Titre1">
    <w:name w:val="heading 1"/>
    <w:basedOn w:val="Normal"/>
    <w:next w:val="Normal"/>
    <w:link w:val="Titre1Car"/>
    <w:autoRedefine/>
    <w:qFormat/>
    <w:rsid w:val="00A1572A"/>
    <w:pPr>
      <w:keepNext/>
      <w:numPr>
        <w:numId w:val="17"/>
      </w:numPr>
      <w:shd w:val="clear" w:color="auto" w:fill="004354"/>
      <w:tabs>
        <w:tab w:val="left" w:pos="1701"/>
      </w:tabs>
      <w:autoSpaceDE w:val="0"/>
      <w:autoSpaceDN w:val="0"/>
      <w:adjustRightInd w:val="0"/>
      <w:spacing w:before="240" w:after="200" w:line="276" w:lineRule="auto"/>
      <w:jc w:val="both"/>
      <w:outlineLvl w:val="0"/>
    </w:pPr>
    <w:rPr>
      <w:rFonts w:ascii="Arial Gras" w:eastAsia="MS Mincho" w:hAnsi="Arial Gras" w:cs="Arial"/>
      <w:b/>
      <w:caps/>
      <w:color w:val="FFFFFF" w:themeColor="background1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A1572A"/>
    <w:pPr>
      <w:keepNext/>
      <w:numPr>
        <w:ilvl w:val="1"/>
        <w:numId w:val="17"/>
      </w:numPr>
      <w:spacing w:before="120" w:after="120" w:line="276" w:lineRule="auto"/>
      <w:contextualSpacing/>
      <w:jc w:val="both"/>
      <w:textAlignment w:val="baseline"/>
      <w:outlineLvl w:val="1"/>
    </w:pPr>
    <w:rPr>
      <w:rFonts w:ascii="Arial Gras" w:eastAsia="Times New Roman" w:hAnsi="Arial Gras" w:cs="Arial"/>
      <w:bCs/>
      <w:color w:val="004354"/>
      <w:sz w:val="20"/>
      <w:szCs w:val="20"/>
      <w:u w:val="single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A1572A"/>
    <w:pPr>
      <w:numPr>
        <w:ilvl w:val="2"/>
        <w:numId w:val="17"/>
      </w:numPr>
      <w:autoSpaceDE w:val="0"/>
      <w:autoSpaceDN w:val="0"/>
      <w:adjustRightInd w:val="0"/>
      <w:spacing w:before="160" w:line="240" w:lineRule="auto"/>
      <w:jc w:val="both"/>
      <w:outlineLvl w:val="2"/>
    </w:pPr>
    <w:rPr>
      <w:rFonts w:ascii="Arial" w:eastAsia="Times New Roman" w:hAnsi="Arial" w:cs="Times New Roman"/>
      <w:i/>
      <w:color w:val="004354"/>
      <w:sz w:val="20"/>
      <w:szCs w:val="26"/>
      <w:u w:val="single"/>
      <w:lang w:val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2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2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2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2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2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2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1572A"/>
    <w:rPr>
      <w:rFonts w:ascii="Arial Gras" w:eastAsia="MS Mincho" w:hAnsi="Arial Gras" w:cs="Arial"/>
      <w:b/>
      <w:caps/>
      <w:color w:val="FFFFFF" w:themeColor="background1"/>
      <w:sz w:val="24"/>
      <w:szCs w:val="24"/>
      <w:shd w:val="clear" w:color="auto" w:fill="004354"/>
      <w:lang w:eastAsia="fr-FR"/>
    </w:rPr>
  </w:style>
  <w:style w:type="character" w:customStyle="1" w:styleId="Titre2Car">
    <w:name w:val="Titre 2 Car"/>
    <w:basedOn w:val="Policepardfaut"/>
    <w:link w:val="Titre2"/>
    <w:rsid w:val="00A1572A"/>
    <w:rPr>
      <w:rFonts w:ascii="Arial Gras" w:eastAsia="Times New Roman" w:hAnsi="Arial Gras" w:cs="Arial"/>
      <w:bCs/>
      <w:color w:val="004354"/>
      <w:sz w:val="20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A1572A"/>
    <w:rPr>
      <w:rFonts w:ascii="Arial" w:eastAsia="Times New Roman" w:hAnsi="Arial" w:cs="Times New Roman"/>
      <w:i/>
      <w:color w:val="004354"/>
      <w:sz w:val="20"/>
      <w:szCs w:val="26"/>
      <w:u w:val="single"/>
      <w:lang w:val="x-none"/>
    </w:rPr>
  </w:style>
  <w:style w:type="character" w:customStyle="1" w:styleId="Titre4Car">
    <w:name w:val="Titre 4 Car"/>
    <w:basedOn w:val="Policepardfaut"/>
    <w:link w:val="Titre4"/>
    <w:uiPriority w:val="9"/>
    <w:semiHidden/>
    <w:rsid w:val="00AF24B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24B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24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24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24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24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2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2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2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2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2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F24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24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F24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2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24B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24B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F24BF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C1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8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A08"/>
  </w:style>
  <w:style w:type="paragraph" w:styleId="Pieddepage">
    <w:name w:val="footer"/>
    <w:basedOn w:val="Normal"/>
    <w:link w:val="PieddepageCar"/>
    <w:uiPriority w:val="99"/>
    <w:unhideWhenUsed/>
    <w:rsid w:val="0038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2465</Characters>
  <Application>Microsoft Office Word</Application>
  <DocSecurity>0</DocSecurity>
  <Lines>77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 BOURET</dc:creator>
  <cp:keywords/>
  <dc:description/>
  <cp:lastModifiedBy>Valérie MOUTIER</cp:lastModifiedBy>
  <cp:revision>3</cp:revision>
  <cp:lastPrinted>2025-07-10T14:42:00Z</cp:lastPrinted>
  <dcterms:created xsi:type="dcterms:W3CDTF">2025-07-10T14:42:00Z</dcterms:created>
  <dcterms:modified xsi:type="dcterms:W3CDTF">2025-07-10T14:43:00Z</dcterms:modified>
</cp:coreProperties>
</file>